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Al Ministro dell'istruzione, dell'università e della ricerca, Per sapere, premesso che: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La riforma pensionistica nota come riforma Fornero, introdotta dal decreto-legge 6 </w:t>
      </w:r>
      <w:r>
        <w:rPr>
          <w:rStyle w:val="Character0"/>
          <w:sz w:val="24"/>
          <w:szCs w:val="24"/>
        </w:rPr>
        <w:t xml:space="preserve">dicembre 2011, n. 201, convertito con modificazioni dalla legge 22 dicembre 2011 n. 214, </w:t>
      </w:r>
      <w:r>
        <w:rPr>
          <w:rStyle w:val="Character0"/>
          <w:sz w:val="24"/>
          <w:szCs w:val="24"/>
        </w:rPr>
        <w:t xml:space="preserve">risulta viziata da un errore essenziale riguardante i lavoratori del comparto scuola;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come già espresso nel precedente atto di sindacato n. 5-04059, i soggetti coinvolti da tale </w:t>
      </w:r>
      <w:r>
        <w:rPr>
          <w:rStyle w:val="Character0"/>
          <w:sz w:val="24"/>
          <w:szCs w:val="24"/>
        </w:rPr>
        <w:t xml:space="preserve">errore sono mantenuti al lavoro in quanto alla soluzione del problema sono sempre stati  </w:t>
      </w:r>
      <w:r>
        <w:rPr>
          <w:rStyle w:val="Character0"/>
          <w:sz w:val="24"/>
          <w:szCs w:val="24"/>
        </w:rPr>
        <w:t xml:space="preserve">opposti insormontabili problemi di natura finanziaria: in particolare, segnalo che, in tre anni, </w:t>
      </w:r>
      <w:r>
        <w:rPr>
          <w:rStyle w:val="Character0"/>
          <w:sz w:val="24"/>
          <w:szCs w:val="24"/>
        </w:rPr>
        <w:t xml:space="preserve">non si é mai voluti giungere a determinare con esattezza inconfutabile il nuesatto dei </w:t>
      </w:r>
      <w:r>
        <w:rPr>
          <w:rStyle w:val="Character0"/>
          <w:sz w:val="24"/>
          <w:szCs w:val="24"/>
        </w:rPr>
        <w:t xml:space="preserve">lavoratori coinvolti, dato imprescindibile per calcolare il costo dei interventi a favore del loro </w:t>
      </w:r>
      <w:r>
        <w:rPr>
          <w:rStyle w:val="Character0"/>
          <w:sz w:val="24"/>
          <w:szCs w:val="24"/>
        </w:rPr>
        <w:t>pensionamento;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a tale proposito, a fronte del fatto che il costo di eventuali interventi é sempre stato ritenuto </w:t>
      </w:r>
      <w:r>
        <w:rPr>
          <w:rStyle w:val="Character0"/>
          <w:sz w:val="24"/>
          <w:szCs w:val="24"/>
        </w:rPr>
        <w:t xml:space="preserve">insostenibile, mentre non si sono volute valutare le conseguenze di un brusco </w:t>
      </w:r>
      <w:r>
        <w:rPr>
          <w:rStyle w:val="Character0"/>
          <w:sz w:val="24"/>
          <w:szCs w:val="24"/>
        </w:rPr>
        <w:t xml:space="preserve">innalzamento coattivo dell’età lavorativa e, in particlare, si ignora il costo "sociale" del </w:t>
      </w:r>
      <w:r>
        <w:rPr>
          <w:rStyle w:val="Character0"/>
          <w:sz w:val="24"/>
          <w:szCs w:val="24"/>
        </w:rPr>
        <w:t xml:space="preserve">mantenimento in servizio di persone ultrasessantenni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é solo un luogo comune che i lavoratori della scuola svolgano una professione“leggera” </w:t>
      </w:r>
      <w:r>
        <w:rPr>
          <w:rStyle w:val="Character0"/>
          <w:sz w:val="24"/>
          <w:szCs w:val="24"/>
        </w:rPr>
        <w:t xml:space="preserve">e caratterizzata da presunti "privilegi: al contrario, ci sormai studi consolidati che attestano </w:t>
      </w:r>
      <w:r>
        <w:rPr>
          <w:rStyle w:val="Character0"/>
          <w:sz w:val="24"/>
          <w:szCs w:val="24"/>
        </w:rPr>
        <w:t xml:space="preserve">che si tratta in realtà di“lavoro usurante”, perché non si può considerare la fatica solo nel </w:t>
      </w:r>
      <w:r>
        <w:rPr>
          <w:rStyle w:val="Character0"/>
          <w:sz w:val="24"/>
          <w:szCs w:val="24"/>
        </w:rPr>
        <w:t xml:space="preserve">suo aspetto meramente fisico. A questo proposito, gli studi dello psichiatra Vittorio Lodolo </w:t>
      </w:r>
      <w:r>
        <w:rPr>
          <w:rStyle w:val="Character0"/>
          <w:sz w:val="24"/>
          <w:szCs w:val="24"/>
        </w:rPr>
        <w:t xml:space="preserve">D’Oria, dimostrano come la professione tra docente sia tra quelle le“helping professions” </w:t>
      </w:r>
      <w:r>
        <w:rPr>
          <w:rStyle w:val="Character0"/>
          <w:sz w:val="24"/>
          <w:szCs w:val="24"/>
        </w:rPr>
        <w:t xml:space="preserve">e a più alto rischio di burnout;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non appare difficile comprendere quanto sia complesso e faticoso occuparsi per più di 40 </w:t>
      </w:r>
      <w:r>
        <w:rPr>
          <w:rStyle w:val="Character0"/>
          <w:sz w:val="24"/>
          <w:szCs w:val="24"/>
        </w:rPr>
        <w:t xml:space="preserve">anni dell'educazione e dell'istruzione di bambini e alunni e di studenti e adolescenti </w:t>
      </w:r>
      <w:r>
        <w:rPr>
          <w:rStyle w:val="Character0"/>
          <w:sz w:val="24"/>
          <w:szCs w:val="24"/>
        </w:rPr>
        <w:t xml:space="preserve">problematici e lavorare in classi sovraffollate che richiedono esigenze educative e </w:t>
      </w:r>
      <w:r>
        <w:rPr>
          <w:rStyle w:val="Character0"/>
          <w:sz w:val="24"/>
          <w:szCs w:val="24"/>
        </w:rPr>
        <w:t xml:space="preserve">didattiche diverse dovute alla presenza di alunni stranieri, di ragazzi in condizione di </w:t>
      </w:r>
      <w:r>
        <w:rPr>
          <w:rStyle w:val="Character0"/>
          <w:sz w:val="24"/>
          <w:szCs w:val="24"/>
        </w:rPr>
        <w:t xml:space="preserve">handicap spesso con sostegno insufficiente, di studenti con DSA o con BES: si tratta di un </w:t>
      </w:r>
      <w:r>
        <w:rPr>
          <w:rStyle w:val="Character0"/>
          <w:sz w:val="24"/>
          <w:szCs w:val="24"/>
        </w:rPr>
        <w:t xml:space="preserve">pesante impegno fisico e intellettivo, che nel tempo determina una alta predisposizione a </w:t>
      </w:r>
      <w:r>
        <w:rPr>
          <w:rStyle w:val="Character0"/>
          <w:sz w:val="24"/>
          <w:szCs w:val="24"/>
        </w:rPr>
        <w:t xml:space="preserve">contrarre malattie;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una indagine basata sulle autodichiarazioni - documentabili - rese dal personale coinvolto </w:t>
      </w:r>
      <w:r>
        <w:rPr>
          <w:rStyle w:val="Character0"/>
          <w:sz w:val="24"/>
          <w:szCs w:val="24"/>
        </w:rPr>
        <w:t xml:space="preserve">dall'errore della riforma Fornero, e che è già a disposizione del Ministro interrogato, </w:t>
      </w:r>
      <w:r>
        <w:rPr>
          <w:rStyle w:val="Character0"/>
          <w:sz w:val="24"/>
          <w:szCs w:val="24"/>
        </w:rPr>
        <w:t xml:space="preserve">individua una forte accelerazione delle patologie, in questi tre anni, verso stadi di </w:t>
      </w:r>
      <w:r>
        <w:rPr>
          <w:rStyle w:val="Character0"/>
          <w:sz w:val="24"/>
          <w:szCs w:val="24"/>
        </w:rPr>
        <w:t xml:space="preserve">cronicizzazione ingravescenti e la comparsa di nuove patologie da stress da lavoro </w:t>
      </w:r>
      <w:r>
        <w:rPr>
          <w:rStyle w:val="Character0"/>
          <w:sz w:val="24"/>
          <w:szCs w:val="24"/>
        </w:rPr>
        <w:t xml:space="preserve">correlate. Questa situazione, in progressivo deterioramento, determina la necessità di </w:t>
      </w:r>
      <w:r>
        <w:rPr>
          <w:rStyle w:val="Character0"/>
          <w:sz w:val="24"/>
          <w:szCs w:val="24"/>
        </w:rPr>
        <w:t xml:space="preserve">frequenti assenze (anche di persone che in 20/30 anni, non hanno mai usufruito di un solo </w:t>
      </w:r>
      <w:r>
        <w:rPr>
          <w:rStyle w:val="Character0"/>
          <w:sz w:val="24"/>
          <w:szCs w:val="24"/>
        </w:rPr>
        <w:t xml:space="preserve">giorno di lavoro), che a loro volta producono un incremento, che probabilmente non è stato </w:t>
      </w:r>
      <w:r>
        <w:rPr>
          <w:rStyle w:val="Character0"/>
          <w:sz w:val="24"/>
          <w:szCs w:val="24"/>
        </w:rPr>
        <w:t xml:space="preserve">ancora opportunamente considerato, dei costi a carico del SSN, del MIUR e dell’INPS, sia </w:t>
      </w:r>
      <w:r>
        <w:rPr>
          <w:rStyle w:val="Character0"/>
          <w:sz w:val="24"/>
          <w:szCs w:val="24"/>
        </w:rPr>
        <w:t xml:space="preserve">per le cure necessarie sia per il pagamento di supplenti;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 xml:space="preserve">a parere della scrivente, quindi, sarebbe più lungimirante considerare il pensionamento più </w:t>
      </w:r>
      <w:r>
        <w:rPr>
          <w:rStyle w:val="Character0"/>
          <w:sz w:val="24"/>
          <w:szCs w:val="24"/>
        </w:rPr>
        <w:t xml:space="preserve">economico del protrarsi di questa condizione, tenuto conto della esigenza della continuità </w:t>
      </w:r>
      <w:r>
        <w:rPr>
          <w:rStyle w:val="Character0"/>
          <w:sz w:val="24"/>
          <w:szCs w:val="24"/>
        </w:rPr>
        <w:t xml:space="preserve">didattica, della dignità dei lavoratori coinvolti nonché della necessità di emendare a palesi </w:t>
      </w:r>
      <w:r>
        <w:rPr>
          <w:rStyle w:val="Character0"/>
          <w:sz w:val="24"/>
          <w:szCs w:val="24"/>
        </w:rPr>
        <w:t xml:space="preserve">errori normativi:-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r>
        <w:rPr>
          <w:rStyle w:val="Character0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2"/>
          <w:sz w:val="24"/>
          <w:szCs w:val="24"/>
        </w:rPr>
        <w:t xml:space="preserve">se il ministro abbia valutato i costi economici e sociali derivanti dal trattenimento in servizio </w:t>
      </w:r>
      <w:r>
        <w:rPr>
          <w:rStyle w:val="Character2"/>
          <w:sz w:val="24"/>
          <w:szCs w:val="24"/>
        </w:rPr>
        <w:t xml:space="preserve">di personale ultrassessantenne;</w:t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2"/>
          <w:sz w:val="24"/>
          <w:szCs w:val="24"/>
        </w:rPr>
        <w:t xml:space="preserve">quali iniziative intenda assumere per  consentire ai lavoratori in premessa di accedere al </w:t>
      </w:r>
      <w:r>
        <w:rPr>
          <w:rStyle w:val="Character2"/>
          <w:sz w:val="24"/>
          <w:szCs w:val="24"/>
        </w:rPr>
        <w:t xml:space="preserve">pensionamento, seppur tardivamente,  con il prossimo 1 settembre 2015  per dare </w:t>
      </w:r>
      <w:r>
        <w:rPr>
          <w:rStyle w:val="Character2"/>
          <w:sz w:val="24"/>
          <w:szCs w:val="24"/>
        </w:rPr>
        <w:t xml:space="preserve">escuzione all'odg 9/2679/bis-A/235 Di Salvo accolto favorevolmente dal Governo in sede </w:t>
      </w:r>
      <w:r>
        <w:rPr>
          <w:rStyle w:val="Character2"/>
          <w:sz w:val="24"/>
          <w:szCs w:val="24"/>
        </w:rPr>
        <w:t xml:space="preserve">di approvazione della legge di stabilità. </w:t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1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2"/>
          <w:sz w:val="24"/>
          <w:szCs w:val="24"/>
        </w:rPr>
        <w:t>Ghizzoni</w:t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1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2"/>
          <w:sz w:val="24"/>
          <w:szCs w:val="24"/>
        </w:rPr>
        <w:t>Incerti</w:t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1"/>
          <w:sz w:val="24"/>
          <w:szCs w:val="24"/>
        </w:rPr>
        <w:t/>
      </w:r>
    </w:p>
    <w:p>
      <w:pPr>
        <w:pStyle w:val="Para0"/>
        <w:spacing w:line="240" w:lineRule="auto"/>
        <w:ind w:left="0"/>
        <w:rPr>
          <w:sz w:val="24"/>
          <w:szCs w:val="24"/>
          <w:rFonts w:ascii="Helvetica" w:eastAsia="Helvetica" w:hAnsi="Helvetica"/>
        </w:rPr>
      </w:pPr>
      <w:r>
        <w:rPr>
          <w:rStyle w:val="Character2"/>
          <w:sz w:val="24"/>
          <w:szCs w:val="24"/>
        </w:rPr>
        <w:t>Gnecchi</w:t>
      </w:r>
    </w:p>
    <w:p>
      <w:pPr>
        <w:pStyle w:val="Para0"/>
        <w:spacing w:line="240" w:lineRule="auto"/>
        <w:ind w:left="0"/>
        <w:rPr>
          <w:sz w:val="24"/>
          <w:szCs w:val="24"/>
          <w:rFonts w:ascii="Arial" w:eastAsia="Arial" w:hAnsi="Arial"/>
        </w:rPr>
      </w:pPr>
      <w:bookmarkStart w:id="1" w:name="_GoBack"/>
      <w:bookmarkEnd w:id="1"/>
    </w:p>
    <w:sectPr>
      <w:pgSz w:w="11906" w:h="16838" w:orient="portrait" w:code="9"/>
      <w:pgMar w:top="1417" w:right="1134" w:bottom="1134" w:left="1134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Arial" w:eastAsia="Arial" w:hAnsi="Arial"/>
      <w:sz w:val="24"/>
    </w:rPr>
  </w:style>
  <w:style w:type="character" w:customStyle="1" w:styleId="Character1">
    <w:name w:val="CharAttribute1"/>
    <w:rPr>
      <w:rFonts w:ascii="Helvetica" w:eastAsia="Helvetica" w:hAnsi="Helvetica"/>
      <w:sz w:val="24"/>
    </w:rPr>
  </w:style>
  <w:style w:type="character" w:customStyle="1" w:styleId="Character2">
    <w:name w:val="CharAttribute2"/>
    <w:rPr>
      <w:rFonts w:ascii="Helvetica" w:eastAsia="Times New Roman" w:hAnsi="Times New Roman"/>
      <w:sz w:val="24"/>
    </w:rPr>
  </w:style>
  <w:style w:type="character" w:customStyle="1" w:styleId="Character3">
    <w:name w:val="CharAttribute3"/>
    <w:rPr>
      <w:rFonts w:ascii="Arial" w:eastAsia="Arial" w:hAnsi="Arial"/>
      <w:sz w:val="24"/>
    </w:rPr>
  </w:style>
  <w:style w:type="character" w:customStyle="1" w:styleId="Character4">
    <w:name w:val="CharAttribute4"/>
    <w:rPr>
      <w:rFonts w:ascii="Arial" w:eastAsia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